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6642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Che 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dieta mediterranea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facesse bene se ne sono accorti già negli anni Settanta i nutrizionisti americani, capeggiati da 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Ancel</w:t>
      </w:r>
      <w:proofErr w:type="spellEnd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 Keys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 Ma come riassumere tutta quella mole di ricerche, studi, indagini epidemiologiche, in modo leggibile e utile?</w:t>
      </w:r>
    </w:p>
    <w:p w14:paraId="319AC586" w14:textId="77777777" w:rsidR="00F520C4" w:rsidRPr="00F520C4" w:rsidRDefault="00F520C4" w:rsidP="00F520C4">
      <w:pPr>
        <w:spacing w:before="300" w:after="150"/>
        <w:outlineLvl w:val="1"/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  <w:t>Ciò che ci fa bene. La dieta mediterranea e la prima piramide alimentare</w:t>
      </w:r>
    </w:p>
    <w:p w14:paraId="19986D77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piramide alimentare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 è la più geniale, semplice ed efficace rappresentazione di uno stile alimentare corretto ed equilibrato, che coincide con il modello alimentare mediterraneo identificato negli anni Settanta da </w:t>
      </w:r>
      <w:proofErr w:type="spellStart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Ancel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 Keys, a conclusione di un ampio studio sulla correlazione tra nutrizione e mortalità. È stato il </w:t>
      </w:r>
      <w:hyperlink r:id="rId4" w:tgtFrame="_blank" w:history="1"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Dipartimento statunitense dell’Agricoltura (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Usda</w:t>
        </w:r>
        <w:proofErr w:type="spellEnd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)</w:t>
        </w:r>
      </w:hyperlink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nel 1992 a ideare questo schema con al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vertice i cibi da consumare solo occasionalmente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e alla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base gli alimenti – fondamentali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, appunto – che hanno dato prova di avere un effetto positivo sulla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salute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, che quindi vanno mangiati tutti i giorni. L’intento – raggiunto – era riassumere i dettami della dieta mediterranea in uno schema grafico semplice, chiaro e comprensibile.</w:t>
      </w:r>
    </w:p>
    <w:p w14:paraId="07AC2229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lastRenderedPageBreak/>
        <w:drawing>
          <wp:inline distT="0" distB="0" distL="0" distR="0" wp14:anchorId="166EB639" wp14:editId="305174FC">
            <wp:extent cx="10861040" cy="6106160"/>
            <wp:effectExtent l="0" t="0" r="10160" b="0"/>
            <wp:docPr id="6" name="Immagine 6" descr="e indicazioni dei nutrizionisti americani furono raccolte dal dipartimento 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indicazioni dei nutrizionisti americani furono raccolte dal dipartimento 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2DA6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La piramide alimentare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358F2055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I cibi sono suddivisi in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fasce orizzontali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 Salendo progressivamente dalla base verso la cima, la frequenza di consumo delle diverse categorie alimentari dovrebbe diminuire. Alla base della piramide si trovano proprio frutta e ortaggi tipici delle abitudini alimentari mediterranee, ricchi in termini di nutrienti (vitamine, sali minerali, acqua) e di sostanze protettive (fibre e composti bioattivi di origine vegetale). Salendo progressivamente si trovano gli alimenti a crescente densità energetica (molto, troppo presenti nella dieta nordamericana) che andrebbero consumati in sempre minore quantità.</w:t>
      </w:r>
    </w:p>
    <w:p w14:paraId="4ED82D6D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Nel </w:t>
      </w:r>
      <w:proofErr w:type="gramStart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2005  lo</w:t>
      </w:r>
      <w:proofErr w:type="gram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 schema è stato rivisto e attualizzato con modifiche importanti, ad esempio la distinzione tra grassi buoni e insalubri e lo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spostamento della carne rossa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verso gli alimenti meno raccomandabili. Ma, a distanza di anni, la piramide alimentare basata sulla dieta mediterranea resta un modello di riferimento, in cui convergono tutte le principali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raccomandazioni nutrizionali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emanate nei più diversi ambiti della medicina.</w:t>
      </w:r>
    </w:p>
    <w:p w14:paraId="5653928D" w14:textId="77777777" w:rsidR="00F520C4" w:rsidRPr="00F520C4" w:rsidRDefault="00F520C4" w:rsidP="00F520C4">
      <w:pPr>
        <w:spacing w:before="300" w:after="150"/>
        <w:outlineLvl w:val="1"/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  <w:t>Ciò che fa male al Pianeta. La piramide alimentare dell’impatto ambientale</w:t>
      </w:r>
    </w:p>
    <w:p w14:paraId="5F2A10E6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L’impatto della nutrizione sulla salute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è un concetto acclarato in medicina ed è alla base della prevenzione per molte diverse patologie. In parallelo, lo studio dell’alimentazione sta vivendo un’espansione che va dall’ambito strettamente nutrizionale verso altre categorie della cultura e della scienza, che includono le scienze sociali, l’economia e, cosa interessantissima, le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scienze ambientali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 Sta emergendo oggi una nuova consapevolezza: le scelte alimentari dei singoli e delle collettività hanno riflessi notevoli su ognuno di noi, sulla società e sull’ambiente e possono concretamente influenzare il futuro dell’uomo sul pianeta.</w:t>
      </w:r>
    </w:p>
    <w:p w14:paraId="6BD7340C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Un nuovo, utilissimo strumento per dare nuove motivazioni e spingere le persone verso scelte nutrizionali corrette ce lo ha dato il </w:t>
      </w:r>
      <w:hyperlink r:id="rId7" w:tgtFrame="_blank" w:history="1"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 xml:space="preserve">Barilla Center for 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Food</w:t>
        </w:r>
        <w:proofErr w:type="spellEnd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 xml:space="preserve"> and 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Nutrition</w:t>
        </w:r>
        <w:proofErr w:type="spellEnd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 xml:space="preserve"> (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Bcfn</w:t>
        </w:r>
        <w:proofErr w:type="spellEnd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)</w:t>
        </w:r>
      </w:hyperlink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</w:t>
      </w:r>
    </w:p>
    <w:p w14:paraId="39F4B129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L’approccio che congloba l’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attenzione per l’ambiente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e la considerazione dell’uso di risorse naturali per ottenere gli elementi nutritivi è stato inaugurato nel giugno 2010, quando gli esperti hanno radunato e riassunto i primi studi sull’impatto ecologico dei vari alimenti.</w:t>
      </w:r>
    </w:p>
    <w:p w14:paraId="7B3D5505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drawing>
          <wp:inline distT="0" distB="0" distL="0" distR="0" wp14:anchorId="4001BDF1" wp14:editId="1DE08A97">
            <wp:extent cx="10861040" cy="6106160"/>
            <wp:effectExtent l="0" t="0" r="10160" b="0"/>
            <wp:docPr id="5" name="Immagine 5" descr="enere conto della variabile ambientale nelle scelte nutrizionali dei singoli e del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e conto della variabile ambientale nelle scelte nutrizionali dei singoli e del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ACEE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La piramide ambientale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713E1A13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Mettendoli in ordine digradante hanno scoperto che le categorie degli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alimenti in cima alla piramide alimentare </w:t>
      </w:r>
      <w:proofErr w:type="gram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mediterranea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(</w:t>
      </w:r>
      <w:proofErr w:type="gram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cioè quelli meno raccomandabili) coincidono quasi perfettamente con quelli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più energivori e nocivi per l’ambiente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 La prima edizione della doppia piramide raccoglieva 140 dati da 35 fonti scientifiche, l’ultima (2015) 1.222 dati da 385 fonti. Oggi, la maggior parte (71%) delle fonti bibliografiche utilizzate è relativa al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Carbon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, seguito da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Water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ed 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Ecological</w:t>
      </w:r>
      <w:proofErr w:type="spellEnd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. Questo è dovuto a una combinazione di fattori. Il primo è certamente il fatto che il Carbon </w:t>
      </w:r>
      <w:proofErr w:type="spellStart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 è l’indicatore più utilizzato dagli studiosi e, soprattutto, è quello per il quale esistono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standard di calcolo più consolidati e diffusi a livello scientifico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. I tre indicatori ambientali, riferiti a un chilogrammo (o a un litro) di alimento, sono stati calcolati come media aritmetica dei valori resi disponibili dalle ricerche.</w:t>
      </w:r>
    </w:p>
    <w:p w14:paraId="767B2F3A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drawing>
          <wp:inline distT="0" distB="0" distL="0" distR="0" wp14:anchorId="4A3173A2" wp14:editId="662DF134">
            <wp:extent cx="10861040" cy="6106160"/>
            <wp:effectExtent l="0" t="0" r="10160" b="0"/>
            <wp:docPr id="4" name="Immagine 4" descr="a Carbon Footprint rappresenta la quantità totale di gas serra emessi diret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arbon Footprint rappresenta la quantità totale di gas serra emessi diret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CCA9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La piramide della Carbon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34EB74B1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Carbon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: rappresenta il totale dei gas ad effetto serra responsabili dei cambiamenti climatici causati in maniera diretta o indiretta dalle attività umane. È misurato in massa di CO2 equivalente.</w:t>
      </w:r>
    </w:p>
    <w:p w14:paraId="47E88989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drawing>
          <wp:inline distT="0" distB="0" distL="0" distR="0" wp14:anchorId="0B8B528D" wp14:editId="7AEAABF5">
            <wp:extent cx="10861040" cy="6106160"/>
            <wp:effectExtent l="0" t="0" r="10160" b="0"/>
            <wp:docPr id="3" name="Immagine 3" descr="a Water Footprint è la misura dell'acqua usata, inquinata o evaporata nece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Water Footprint è la misura dell'acqua usata, inquinata o evaporata nece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2170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Piramide </w:t>
      </w:r>
      <w:proofErr w:type="gram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della water</w:t>
      </w:r>
      <w:proofErr w:type="gramEnd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439CA944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Water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: quantifica i consumi e le modalità di utilizzo delle risorse idriche. È misurata in volume (litri) di acqua dolce consumata, evaporata o inquinata durante il ciclo di vita di un prodotto e tiene in considerazione anche il luogo dove è avvenuto il prelievo.</w:t>
      </w:r>
    </w:p>
    <w:p w14:paraId="6C167EE6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drawing>
          <wp:inline distT="0" distB="0" distL="0" distR="0" wp14:anchorId="17D3D3D0" wp14:editId="34718524">
            <wp:extent cx="10861040" cy="6106160"/>
            <wp:effectExtent l="0" t="0" r="10160" b="0"/>
            <wp:docPr id="2" name="Immagine 2" descr="'impronta ecologica è la misura degli appezzamenti di terreno e delle aree 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impronta ecologica è la misura degli appezzamenti di terreno e delle aree 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3EA8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Piramide dell’impronta ecologica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01E38BAD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Ecological</w:t>
      </w:r>
      <w:proofErr w:type="spellEnd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Footprint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: misura l’area di territorio biologicamente produttivo necessaria per produrre le risorse consumate da una famiglia, o da un Paese, o da un singolo processo produttivo, e per assorbirne le relative emissioni di anidride carbonica. Questo indice – espresso in mq o ettari globali – è standardizzato a livello internazionale ed è utilizzato, ad esempio, dalla Commissione Europea per misurare i consumi di risorse a livello nazionale. Calcola la quantità di terra (o mare) biologicamente produttiva necessaria per fornire le risorse e assorbire le emissioni associate a un sistema produttivo.</w:t>
      </w:r>
    </w:p>
    <w:p w14:paraId="11721AC2" w14:textId="77777777" w:rsidR="00F520C4" w:rsidRPr="00F520C4" w:rsidRDefault="00F520C4" w:rsidP="00F520C4">
      <w:pPr>
        <w:spacing w:before="300" w:after="150"/>
        <w:outlineLvl w:val="1"/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color w:val="212021"/>
          <w:sz w:val="36"/>
          <w:szCs w:val="36"/>
          <w:lang w:eastAsia="it-IT"/>
        </w:rPr>
        <w:t>L’accostamento grafico delle due piramidi è sorprendente e dà un messaggio chiaro</w:t>
      </w:r>
    </w:p>
    <w:p w14:paraId="61792CB7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Affiancando la piramide alimentare alla piramide ambientale, è emersa una correlazione di notevole interesse, capace di chiarire un messaggio portentoso: gli alimenti per i quali è consigliato un consumo maggiore generalmente sono anche quelli che determinano gli impatti ambientali minori.</w:t>
      </w:r>
    </w:p>
    <w:p w14:paraId="00B547B8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Ora, l’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importanza dell’alimentazione per la salute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viene ogni giorno confermata da nuovi studi. Le ricerche degli ultimi anni hanno dimostrato che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l’agroalimentare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è uno dei comparti maggiormente responsabili delle emissioni di gas serra e del consumo di acqua. La novità comunicata </w:t>
      </w:r>
      <w:hyperlink r:id="rId16" w:tgtFrame="_blank" w:history="1"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 xml:space="preserve">dalla doppia piramide del Barilla Center 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Food</w:t>
        </w:r>
        <w:proofErr w:type="spellEnd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 xml:space="preserve"> </w:t>
        </w:r>
        <w:proofErr w:type="spellStart"/>
        <w:r w:rsidRPr="00F520C4">
          <w:rPr>
            <w:rFonts w:ascii="Helvetica" w:hAnsi="Helvetica" w:cs="Times New Roman"/>
            <w:b/>
            <w:bCs/>
            <w:color w:val="15907E"/>
            <w:sz w:val="25"/>
            <w:szCs w:val="25"/>
            <w:lang w:eastAsia="it-IT"/>
          </w:rPr>
          <w:t>Nutrition</w:t>
        </w:r>
        <w:proofErr w:type="spellEnd"/>
      </w:hyperlink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è che gli alimenti per i quali i nutrizionisti consigliano un consumo più frequente sono anche quelli che hanno un minor impatto ambientale.</w:t>
      </w:r>
    </w:p>
    <w:p w14:paraId="458D0C26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Viceversa, gli alimenti per i quali viene raccomandato un ridotto consumo hanno anche un maggior impatto sull’ambiente.</w:t>
      </w:r>
    </w:p>
    <w:p w14:paraId="4F17F163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In altre parole, questo schema fonde i due obiettivi fondamentali di tutela della salute e dell’ambiente, in uno.</w:t>
      </w:r>
    </w:p>
    <w:p w14:paraId="64943143" w14:textId="77777777" w:rsidR="00F520C4" w:rsidRPr="00F520C4" w:rsidRDefault="00F520C4" w:rsidP="00F520C4">
      <w:pPr>
        <w:rPr>
          <w:rFonts w:ascii="Helvetica" w:eastAsia="Times New Roman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eastAsia="Times New Roman" w:hAnsi="Helvetica" w:cs="Times New Roman"/>
          <w:b/>
          <w:bCs/>
          <w:noProof/>
          <w:color w:val="15907E"/>
          <w:sz w:val="25"/>
          <w:szCs w:val="25"/>
          <w:lang w:eastAsia="it-IT"/>
        </w:rPr>
        <w:drawing>
          <wp:inline distT="0" distB="0" distL="0" distR="0" wp14:anchorId="020D80DC" wp14:editId="5B153609">
            <wp:extent cx="10861040" cy="6106160"/>
            <wp:effectExtent l="0" t="0" r="10160" b="0"/>
            <wp:docPr id="1" name="Immagine 1" descr="merge chiaramente che gli alimenti a minore impatto ambientale sono 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ge chiaramente che gli alimenti a minore impatto ambientale sono 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40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D06D" w14:textId="77777777" w:rsidR="00F520C4" w:rsidRPr="00F520C4" w:rsidRDefault="00F520C4" w:rsidP="00F520C4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jc w:val="center"/>
        <w:rPr>
          <w:rFonts w:ascii="Helvetica" w:hAnsi="Helvetica" w:cs="Times New Roman"/>
          <w:color w:val="212021"/>
          <w:sz w:val="20"/>
          <w:szCs w:val="20"/>
          <w:lang w:eastAsia="it-IT"/>
        </w:rPr>
      </w:pPr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 xml:space="preserve">La doppia piramide alimentare © Fondazione </w:t>
      </w:r>
      <w:proofErr w:type="spellStart"/>
      <w:r w:rsidRPr="00F520C4">
        <w:rPr>
          <w:rFonts w:ascii="Helvetica" w:hAnsi="Helvetica" w:cs="Times New Roman"/>
          <w:color w:val="212021"/>
          <w:sz w:val="20"/>
          <w:szCs w:val="20"/>
          <w:lang w:eastAsia="it-IT"/>
        </w:rPr>
        <w:t>Bcfn</w:t>
      </w:r>
      <w:proofErr w:type="spellEnd"/>
    </w:p>
    <w:p w14:paraId="4C72AD74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È davvero interessante scoprire la quasi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perfetta corrispondenza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tra gli alimenti nocivi per la salute, nella fascia rossa, e quelli che lo sono per gli equilibri ecologici del Pianeta, e la parallela simmetria degli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alimenti benefici per la salute, che sono anche i più leggeri per l’ambiente.</w:t>
      </w:r>
    </w:p>
    <w:p w14:paraId="66751C65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L’elaborazione dell’impronta ecologica degli </w:t>
      </w:r>
      <w:proofErr w:type="gramStart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alimenti  è</w:t>
      </w:r>
      <w:proofErr w:type="gram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 stata condotta secondo l’approccio dell’analisi del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ciclo di vita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(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Life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Cycle</w:t>
      </w:r>
      <w:proofErr w:type="spellEnd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Assessment</w:t>
      </w:r>
      <w:proofErr w:type="spellEnd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 xml:space="preserve">, </w:t>
      </w:r>
      <w:proofErr w:type="spellStart"/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Lca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), metodologia che consiste nel valutare il peso energetico e ambientale associato a tutte le sue fasi produttive. Nel caso di un alimento, dalla coltivazione delle materie prime fino alla distribuzione e all’eventuale cottura, inscatolamento, refrigerazione.</w:t>
      </w:r>
    </w:p>
    <w:p w14:paraId="35CF460E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Tutto questo conferma, sulla base di centinaia di ricerche, che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le scelte alimentari dei singoli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e delle collettività hanno riflessi notevoli sia sull’individuo che sulla società e sull’ambiente. Il benessere della persona e le sue scelte alimentari sono, in questo modello, componenti integrate della salute globale dell’ecosistema.</w:t>
      </w:r>
    </w:p>
    <w:p w14:paraId="6BBF481F" w14:textId="77777777" w:rsidR="00F520C4" w:rsidRPr="00F520C4" w:rsidRDefault="00F520C4" w:rsidP="00F520C4">
      <w:pPr>
        <w:spacing w:after="225"/>
        <w:rPr>
          <w:rFonts w:ascii="Helvetica" w:hAnsi="Helvetica" w:cs="Times New Roman"/>
          <w:color w:val="212021"/>
          <w:sz w:val="25"/>
          <w:szCs w:val="25"/>
          <w:lang w:eastAsia="it-IT"/>
        </w:rPr>
      </w:pP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La proposizione della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doppia piramide alimentare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–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nutrizionale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 attualizza ed estende l’originario valore e significato della sola </w:t>
      </w:r>
      <w:r w:rsidRPr="00F520C4">
        <w:rPr>
          <w:rFonts w:ascii="Helvetica" w:hAnsi="Helvetica" w:cs="Times New Roman"/>
          <w:b/>
          <w:bCs/>
          <w:color w:val="212021"/>
          <w:sz w:val="25"/>
          <w:szCs w:val="25"/>
          <w:lang w:eastAsia="it-IT"/>
        </w:rPr>
        <w:t>piramide alimentare</w:t>
      </w:r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 di </w:t>
      </w:r>
      <w:proofErr w:type="spellStart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>Ancel</w:t>
      </w:r>
      <w:proofErr w:type="spellEnd"/>
      <w:r w:rsidRPr="00F520C4">
        <w:rPr>
          <w:rFonts w:ascii="Helvetica" w:hAnsi="Helvetica" w:cs="Times New Roman"/>
          <w:color w:val="212021"/>
          <w:sz w:val="25"/>
          <w:szCs w:val="25"/>
          <w:lang w:eastAsia="it-IT"/>
        </w:rPr>
        <w:t xml:space="preserve"> Keys. Le implicazioni culturali e scientifiche del nuovo modello hanno un potenziale molto ampio, che spazia dalla ricerca multidisciplinare alla possibilità di un’applicazione quotidiana del messaggio chiave: l’alimentazione più sana per la persona è anche la più sostenibile per il pianeta.</w:t>
      </w:r>
    </w:p>
    <w:p w14:paraId="243EC094" w14:textId="77777777" w:rsidR="00D66EE0" w:rsidRDefault="00D66EE0">
      <w:bookmarkStart w:id="0" w:name="_GoBack"/>
      <w:bookmarkEnd w:id="0"/>
    </w:p>
    <w:sectPr w:rsidR="00D66EE0" w:rsidSect="00935E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4"/>
    <w:rsid w:val="00935E3C"/>
    <w:rsid w:val="00CF1A07"/>
    <w:rsid w:val="00D66EE0"/>
    <w:rsid w:val="00F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2E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520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20C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520C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520C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20C4"/>
    <w:rPr>
      <w:color w:val="0000FF"/>
      <w:u w:val="single"/>
    </w:rPr>
  </w:style>
  <w:style w:type="paragraph" w:customStyle="1" w:styleId="wp-caption-text">
    <w:name w:val="wp-caption-text"/>
    <w:basedOn w:val="Normale"/>
    <w:rsid w:val="00F520C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lifegate.it/app/uploads/piramide-carbon-footprint1.jpg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lifegate.it/app/uploads/piramide-impronta-idrica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lifegate.it/app/uploads/piramide-impronta-ecologica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barillacfn.com/it/pubblicazioni/doppia-piramide-2015-le-raccomandazioni-per-un-alimentazione-sostenibile" TargetMode="External"/><Relationship Id="rId17" Type="http://schemas.openxmlformats.org/officeDocument/2006/relationships/hyperlink" Target="http://www.lifegate.it/app/uploads/doppia-piramide-alimentare.jpg" TargetMode="External"/><Relationship Id="rId18" Type="http://schemas.openxmlformats.org/officeDocument/2006/relationships/image" Target="media/image6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sda.gov/wps/portal/usda/usdahome" TargetMode="External"/><Relationship Id="rId5" Type="http://schemas.openxmlformats.org/officeDocument/2006/relationships/hyperlink" Target="http://www.lifegate.it/app/uploads/piramide-alimentare-ancel-keys1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barillacfn.com/it/" TargetMode="External"/><Relationship Id="rId8" Type="http://schemas.openxmlformats.org/officeDocument/2006/relationships/hyperlink" Target="http://www.lifegate.it/app/uploads/piramide-ambientale-barill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1263</Words>
  <Characters>7204</Characters>
  <Application>Microsoft Macintosh Word</Application>
  <DocSecurity>0</DocSecurity>
  <Lines>60</Lines>
  <Paragraphs>16</Paragraphs>
  <ScaleCrop>false</ScaleCrop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2017-08-03T16:37:00Z</dcterms:created>
  <dcterms:modified xsi:type="dcterms:W3CDTF">2017-08-03T16:38:00Z</dcterms:modified>
</cp:coreProperties>
</file>